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2" w:rsidRPr="00414E82" w:rsidRDefault="00414E82" w:rsidP="00414E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E82">
        <w:rPr>
          <w:b/>
          <w:sz w:val="28"/>
          <w:szCs w:val="28"/>
        </w:rPr>
        <w:t>СТАНДАРТ СОЦИАЛЬНЫХ УСЛУГ,</w:t>
      </w:r>
      <w:r w:rsidRPr="00414E82">
        <w:rPr>
          <w:b/>
          <w:sz w:val="28"/>
          <w:szCs w:val="28"/>
        </w:rPr>
        <w:t xml:space="preserve"> </w:t>
      </w:r>
    </w:p>
    <w:p w:rsidR="00414E82" w:rsidRPr="00414E82" w:rsidRDefault="00414E82" w:rsidP="00414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предоставляемых в полустационарной форме</w:t>
      </w:r>
      <w:r w:rsidRPr="00414E82">
        <w:rPr>
          <w:sz w:val="28"/>
          <w:szCs w:val="28"/>
        </w:rPr>
        <w:t xml:space="preserve"> социального обслуживания</w:t>
      </w:r>
      <w:r w:rsidRPr="00414E82">
        <w:rPr>
          <w:sz w:val="28"/>
          <w:szCs w:val="28"/>
        </w:rPr>
        <w:t xml:space="preserve"> </w:t>
      </w:r>
    </w:p>
    <w:p w:rsidR="00414E82" w:rsidRDefault="00414E82" w:rsidP="00414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p w:rsidR="00414E82" w:rsidRDefault="00414E82" w:rsidP="00414E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E82" w:rsidRPr="00865CF2" w:rsidRDefault="00414E82" w:rsidP="00414E82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65CF2">
        <w:rPr>
          <w:sz w:val="26"/>
          <w:szCs w:val="26"/>
        </w:rPr>
        <w:t>Социально-бытовые услуги</w:t>
      </w:r>
    </w:p>
    <w:p w:rsidR="00414E82" w:rsidRPr="0060207B" w:rsidRDefault="00414E82" w:rsidP="00414E8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14E82" w:rsidRDefault="00414E82" w:rsidP="00414E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 w:rsidRPr="00865CF2">
        <w:rPr>
          <w:sz w:val="26"/>
          <w:szCs w:val="26"/>
        </w:rPr>
        <w:t xml:space="preserve">1.1. </w:t>
      </w:r>
      <w:r w:rsidRPr="0060207B">
        <w:rPr>
          <w:spacing w:val="-4"/>
          <w:sz w:val="26"/>
          <w:szCs w:val="26"/>
        </w:rPr>
        <w:t>Предоставление площади жилых помещений согласно нормативам, утвержденным Правительством Ханты-Мансийского автономного округа – Югры</w:t>
      </w:r>
    </w:p>
    <w:p w:rsidR="00414E82" w:rsidRPr="0060207B" w:rsidRDefault="00414E82" w:rsidP="00414E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935"/>
        <w:gridCol w:w="1794"/>
        <w:gridCol w:w="2106"/>
      </w:tblGrid>
      <w:tr w:rsidR="00414E82" w:rsidRPr="00ED6249" w:rsidTr="00807127"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 xml:space="preserve">помещения, в которых оказывается услуга, соответствуют установленным санитарно-гигиеническим нормам и требованиям безопасности, в том числе и пожарной. Предусматривается предоставление следующих помещений: места отдыха (спального места) в специальном помещении; пользование туалетными, душевыми, ванными, раздевальными комнатами. В комнатах обеспечивается естественное и искусственное освещение. Помещения должны быть обеспечены всеми средствами коммунально-бытового благоустройства и доступны для получателей социальных услуг. </w:t>
            </w:r>
            <w:r w:rsidRPr="00ED6249">
              <w:rPr>
                <w:rFonts w:eastAsia="Calibri"/>
                <w:sz w:val="22"/>
                <w:szCs w:val="22"/>
              </w:rPr>
              <w:t>Размещение получателя социальных услуг осуществляется с учетом пола, возраста, состояния здоровья, психической и психологической совместимости. Услуги индивидуального характера могут предоставляться в изолированном помещении, обеспечивающем отсутствие посторонних лиц</w:t>
            </w:r>
          </w:p>
        </w:tc>
      </w:tr>
      <w:tr w:rsidR="00414E82" w:rsidRPr="00ED6249" w:rsidTr="00807127">
        <w:tc>
          <w:tcPr>
            <w:tcW w:w="2518" w:type="dxa"/>
            <w:vMerge/>
            <w:vAlign w:val="center"/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ED6249">
              <w:rPr>
                <w:rFonts w:eastAsia="Calibri"/>
                <w:sz w:val="22"/>
                <w:szCs w:val="22"/>
              </w:rPr>
              <w:t>оказание  услуги</w:t>
            </w:r>
            <w:proofErr w:type="gramEnd"/>
            <w:r w:rsidRPr="00ED6249">
              <w:rPr>
                <w:rFonts w:eastAsia="Calibri"/>
                <w:sz w:val="22"/>
                <w:szCs w:val="22"/>
              </w:rPr>
              <w:t xml:space="preserve"> 1 раз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периодичность оказания   услуги</w:t>
            </w:r>
          </w:p>
        </w:tc>
      </w:tr>
      <w:tr w:rsidR="00414E82" w:rsidRPr="00ED6249" w:rsidTr="00807127">
        <w:tc>
          <w:tcPr>
            <w:tcW w:w="2518" w:type="dxa"/>
            <w:vMerge/>
            <w:vAlign w:val="center"/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предоставление площади жилых помещений в: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414E82" w:rsidRPr="00ED6249" w:rsidTr="00807127">
        <w:tc>
          <w:tcPr>
            <w:tcW w:w="2518" w:type="dxa"/>
            <w:vMerge/>
            <w:vAlign w:val="center"/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социа</w:t>
            </w:r>
            <w:r>
              <w:rPr>
                <w:rFonts w:eastAsia="Calibri"/>
                <w:sz w:val="22"/>
                <w:szCs w:val="22"/>
              </w:rPr>
              <w:t>льно-реабилитационное отделение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круглосуточно или до 8 часов в сутки</w:t>
            </w:r>
          </w:p>
        </w:tc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в соответствии с индивидуальной программой предоставления социальных услуг</w:t>
            </w:r>
          </w:p>
        </w:tc>
      </w:tr>
      <w:tr w:rsidR="00414E82" w:rsidRPr="00ED6249" w:rsidTr="0080712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ED6249" w:rsidTr="0080712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</w:t>
            </w:r>
            <w:r w:rsidRPr="00ED6249">
              <w:rPr>
                <w:sz w:val="22"/>
                <w:szCs w:val="22"/>
              </w:rPr>
              <w:t>, утвержденным постановлением Правительства Ханты-Мансийского автономного округа – Югры</w:t>
            </w:r>
            <w:r w:rsidRPr="00ED6249">
              <w:rPr>
                <w:rFonts w:eastAsia="Calibri"/>
                <w:sz w:val="22"/>
                <w:szCs w:val="22"/>
              </w:rPr>
              <w:t xml:space="preserve"> от 19 декабря 2014 года № 500-п</w:t>
            </w:r>
          </w:p>
        </w:tc>
      </w:tr>
      <w:tr w:rsidR="00414E82" w:rsidRPr="00ED6249" w:rsidTr="0080712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>показатели качества – 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ED6249" w:rsidTr="00807127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t xml:space="preserve">Условия предоставления социальной услуги, в том числе условия </w:t>
            </w:r>
            <w:r w:rsidRPr="00ED6249">
              <w:rPr>
                <w:rFonts w:eastAsia="Calibri"/>
                <w:sz w:val="22"/>
                <w:szCs w:val="22"/>
              </w:rPr>
              <w:lastRenderedPageBreak/>
              <w:t>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8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E82" w:rsidRPr="00ED6249" w:rsidRDefault="00414E82" w:rsidP="00807127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ED6249">
              <w:rPr>
                <w:rFonts w:eastAsia="Calibri"/>
                <w:sz w:val="22"/>
                <w:szCs w:val="22"/>
              </w:rPr>
              <w:lastRenderedPageBreak/>
              <w:t xml:space="preserve">предоставляются благоустроенные жилые помещения. Размещение получателя социальных услуг осуществляется с учетом пола, возраста, состояния здоровья, психической и психологической совместимости. Помещения должны обеспечивать удобство проживания получателей </w:t>
            </w:r>
            <w:r w:rsidRPr="00ED6249">
              <w:rPr>
                <w:rFonts w:eastAsia="Calibri"/>
                <w:sz w:val="22"/>
                <w:szCs w:val="22"/>
              </w:rPr>
              <w:lastRenderedPageBreak/>
              <w:t xml:space="preserve">социальных услуг и отвечать действующим санитарном, в том числе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 </w:t>
            </w:r>
          </w:p>
        </w:tc>
      </w:tr>
    </w:tbl>
    <w:p w:rsidR="00414E82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14E82" w:rsidRPr="00175EF5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5EF5">
        <w:rPr>
          <w:sz w:val="26"/>
          <w:szCs w:val="26"/>
        </w:rPr>
        <w:t>1.2. Уборка жилых помещений</w:t>
      </w:r>
    </w:p>
    <w:p w:rsidR="00414E82" w:rsidRPr="00175EF5" w:rsidRDefault="00414E82" w:rsidP="00414E8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563"/>
        <w:gridCol w:w="1791"/>
        <w:gridCol w:w="1760"/>
      </w:tblGrid>
      <w:tr w:rsidR="00414E82" w:rsidRPr="00175EF5" w:rsidTr="00807127">
        <w:trPr>
          <w:trHeight w:val="495"/>
        </w:trPr>
        <w:tc>
          <w:tcPr>
            <w:tcW w:w="3173" w:type="dxa"/>
            <w:vMerge w:val="restart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14" w:type="dxa"/>
            <w:gridSpan w:val="3"/>
          </w:tcPr>
          <w:p w:rsidR="00414E82" w:rsidRPr="00175EF5" w:rsidRDefault="00414E82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уборка жилых помещений в соответствии с составленным графиком и (или) по мере необходимости, с применением моющих и дезинфицирующих средств. Услуга включает влажную и сухую уборку (очистка от пыли и мусора мебели, оборудования, полов, подоконников, дверей, батарей центрального отопления)</w:t>
            </w:r>
          </w:p>
        </w:tc>
      </w:tr>
      <w:tr w:rsidR="00414E82" w:rsidRPr="00175EF5" w:rsidTr="00807127">
        <w:trPr>
          <w:trHeight w:val="315"/>
        </w:trPr>
        <w:tc>
          <w:tcPr>
            <w:tcW w:w="3173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175EF5">
              <w:rPr>
                <w:sz w:val="22"/>
                <w:szCs w:val="22"/>
              </w:rPr>
              <w:t>оказание  услуги</w:t>
            </w:r>
            <w:proofErr w:type="gramEnd"/>
            <w:r w:rsidRPr="00175EF5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175EF5" w:rsidTr="00807127">
        <w:trPr>
          <w:trHeight w:val="1136"/>
        </w:trPr>
        <w:tc>
          <w:tcPr>
            <w:tcW w:w="3173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175EF5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5EF5">
              <w:rPr>
                <w:sz w:val="22"/>
                <w:szCs w:val="22"/>
              </w:rPr>
              <w:t>борка жилых помещений</w:t>
            </w:r>
          </w:p>
        </w:tc>
        <w:tc>
          <w:tcPr>
            <w:tcW w:w="1791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15 мин.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не мене</w:t>
            </w:r>
            <w:r>
              <w:rPr>
                <w:sz w:val="22"/>
                <w:szCs w:val="22"/>
              </w:rPr>
              <w:t>е</w:t>
            </w:r>
            <w:r w:rsidRPr="00175EF5">
              <w:rPr>
                <w:sz w:val="22"/>
                <w:szCs w:val="22"/>
              </w:rPr>
              <w:t xml:space="preserve"> 1 раза в день, при необходимости чаще</w:t>
            </w:r>
          </w:p>
        </w:tc>
      </w:tr>
      <w:tr w:rsidR="00414E82" w:rsidRPr="00175EF5" w:rsidTr="00807127">
        <w:trPr>
          <w:trHeight w:val="458"/>
        </w:trPr>
        <w:tc>
          <w:tcPr>
            <w:tcW w:w="317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14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175EF5" w:rsidTr="00807127">
        <w:trPr>
          <w:trHeight w:val="458"/>
        </w:trPr>
        <w:tc>
          <w:tcPr>
            <w:tcW w:w="317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14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175EF5" w:rsidTr="00807127">
        <w:tc>
          <w:tcPr>
            <w:tcW w:w="317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14" w:type="dxa"/>
            <w:gridSpan w:val="3"/>
          </w:tcPr>
          <w:p w:rsidR="00414E82" w:rsidRPr="00175EF5" w:rsidRDefault="00414E82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показатели качества – уборка должна производиться в соответствии с правилами санитарии и гигиены, своевременно и без причинения неудобств получателю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175EF5" w:rsidTr="00807127">
        <w:tc>
          <w:tcPr>
            <w:tcW w:w="3173" w:type="dxa"/>
          </w:tcPr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14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услуга предоставляется работником поставщика социальных услуг. Уборка жилых помещений осуществляется отдельным промаркированным инвентарем с применением моющих и дезинфицирующих средств</w:t>
            </w:r>
          </w:p>
        </w:tc>
      </w:tr>
    </w:tbl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4E82" w:rsidRPr="00175EF5" w:rsidRDefault="00414E82" w:rsidP="00414E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EF5">
        <w:rPr>
          <w:sz w:val="26"/>
          <w:szCs w:val="26"/>
        </w:rPr>
        <w:t>1.3. Обеспечение питанием согласно нормативам, утвержденным Правительством Ханты-Мансийского автономного округа – Югры</w:t>
      </w:r>
    </w:p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758"/>
        <w:gridCol w:w="1798"/>
        <w:gridCol w:w="1778"/>
      </w:tblGrid>
      <w:tr w:rsidR="00414E82" w:rsidRPr="00175EF5" w:rsidTr="00807127">
        <w:tc>
          <w:tcPr>
            <w:tcW w:w="3254" w:type="dxa"/>
            <w:vMerge w:val="restart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75EF5">
              <w:rPr>
                <w:rFonts w:eastAsia="Calibri"/>
                <w:sz w:val="22"/>
                <w:szCs w:val="22"/>
              </w:rPr>
              <w:t>Предусматривает обеспечение питанием в соответствии с требованиями, установленными постановлением Правительства Ханты-Мансийского автономного округа – Югры от 22 августа 2014 года № 306-п «О нормах питания получателей социальных услуг в стационарной форме в организациях социального обслуживания Ханты-Мансийского автономного округа – Югры»</w:t>
            </w:r>
          </w:p>
        </w:tc>
      </w:tr>
      <w:tr w:rsidR="00414E82" w:rsidRPr="00175EF5" w:rsidTr="00807127">
        <w:tc>
          <w:tcPr>
            <w:tcW w:w="3254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175EF5" w:rsidTr="00807127">
        <w:tc>
          <w:tcPr>
            <w:tcW w:w="3254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</w:tcPr>
          <w:p w:rsidR="00414E82" w:rsidRPr="00175EF5" w:rsidRDefault="00414E82" w:rsidP="00807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75EF5">
              <w:rPr>
                <w:sz w:val="22"/>
                <w:szCs w:val="22"/>
              </w:rPr>
              <w:t>беспечение питанием в соответствии с нормативами, утвержденными Правительством Ханты-Мансийского автономного округа – Югры</w:t>
            </w:r>
          </w:p>
        </w:tc>
        <w:tc>
          <w:tcPr>
            <w:tcW w:w="1798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60 мин.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в соответствии с индивидуальной программой предоставления социальных услуг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5EF5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16" w:type="dxa"/>
            <w:gridSpan w:val="3"/>
          </w:tcPr>
          <w:p w:rsidR="00414E82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оказатели качества –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 Оценка результатов – удовлетворенность качеством предоставляемой услуги, отсутствие обоснованных жалоб</w:t>
            </w:r>
          </w:p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75EF5">
              <w:rPr>
                <w:sz w:val="22"/>
                <w:szCs w:val="22"/>
              </w:rPr>
              <w:t>слуга выполняется с учетом соблюдения работником поставщика социальных услуг санитарно-гигиенических норм.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Получателю социальных услуг, не способному принимать пищу самостоятельно, работник поставщика социальных услуг оказывает помощь</w:t>
            </w:r>
          </w:p>
        </w:tc>
      </w:tr>
    </w:tbl>
    <w:p w:rsidR="00414E82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14E82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5EF5">
        <w:rPr>
          <w:sz w:val="26"/>
          <w:szCs w:val="26"/>
        </w:rPr>
        <w:t xml:space="preserve">1.4. Обеспечение мягким инвентарем (постельными принадлежностями) согласно нормативам, утвержденным Правительством </w:t>
      </w:r>
      <w:r>
        <w:rPr>
          <w:sz w:val="26"/>
          <w:szCs w:val="26"/>
        </w:rPr>
        <w:t>ХМАО – Югры</w:t>
      </w:r>
    </w:p>
    <w:p w:rsidR="00414E82" w:rsidRPr="00DE4908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607"/>
        <w:gridCol w:w="1787"/>
        <w:gridCol w:w="1760"/>
      </w:tblGrid>
      <w:tr w:rsidR="00414E82" w:rsidRPr="00175EF5" w:rsidTr="00807127">
        <w:tc>
          <w:tcPr>
            <w:tcW w:w="3133" w:type="dxa"/>
            <w:vMerge w:val="restart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54" w:type="dxa"/>
            <w:gridSpan w:val="3"/>
          </w:tcPr>
          <w:p w:rsidR="00414E82" w:rsidRPr="00175EF5" w:rsidRDefault="00414E82" w:rsidP="00807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редусматривает обеспечение мягким инвентарем (одеждой, обувью, нательным бельем, постельными принадлежностями) в соответствии с нормативами, утвержденными Правительством Ханты-Мансийского автономного округа – Югры</w:t>
            </w:r>
          </w:p>
        </w:tc>
      </w:tr>
      <w:tr w:rsidR="00414E82" w:rsidRPr="00175EF5" w:rsidTr="00807127">
        <w:tc>
          <w:tcPr>
            <w:tcW w:w="3133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07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175EF5" w:rsidTr="00807127">
        <w:tc>
          <w:tcPr>
            <w:tcW w:w="3133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07" w:type="dxa"/>
          </w:tcPr>
          <w:p w:rsidR="00414E82" w:rsidRPr="00175EF5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5EF5">
              <w:rPr>
                <w:sz w:val="22"/>
                <w:szCs w:val="22"/>
              </w:rPr>
              <w:t xml:space="preserve">мена постельных принадлежностей </w:t>
            </w:r>
          </w:p>
        </w:tc>
        <w:tc>
          <w:tcPr>
            <w:tcW w:w="1787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15 мин.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1 раз в неделю или чаще по мере необходимости</w:t>
            </w:r>
          </w:p>
        </w:tc>
      </w:tr>
      <w:tr w:rsidR="00414E82" w:rsidRPr="00175EF5" w:rsidTr="00807127">
        <w:tc>
          <w:tcPr>
            <w:tcW w:w="313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54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5EF5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175EF5" w:rsidTr="00807127">
        <w:tc>
          <w:tcPr>
            <w:tcW w:w="313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54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175EF5" w:rsidTr="00807127">
        <w:tc>
          <w:tcPr>
            <w:tcW w:w="3133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54" w:type="dxa"/>
            <w:gridSpan w:val="3"/>
          </w:tcPr>
          <w:p w:rsidR="00414E82" w:rsidRPr="00175EF5" w:rsidRDefault="00414E82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оказатели качества – соответствие постельных принадлежностей санитарно-гигиеническим нормам и требованиям, проведение смены, сортировки, стирки и глаженья белья в специально оборудованных помещениях. Постельные принадлежности, предоставляемые получателям социальных услуг, должны быть удобными, соответствовать росту и размерам получателей социальных услуг, отвечать, по возможности, их запросам.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175EF5" w:rsidTr="00807127">
        <w:tc>
          <w:tcPr>
            <w:tcW w:w="3133" w:type="dxa"/>
          </w:tcPr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54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75EF5">
              <w:rPr>
                <w:sz w:val="22"/>
                <w:szCs w:val="22"/>
              </w:rPr>
              <w:t>оответствие постельных принадлежностей санитарно-гигиеническим нормам и требованиям.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Наличие специально оборудованных в соответствии с требованиями санитарных правил помещений для хранения постельных принадлежностей.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Проведение смены, сортировки, стирки и глаженья белья в специально оборудованных помещениях в соответствии с санитарно-эпидемиологическими правилами и правилами техники безопасности.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Постельные принадлежности, предоставляемые получателям социальных услуг, должны быть удобными, соответствовать росту и размерам получателей социальных услуг</w:t>
            </w:r>
          </w:p>
        </w:tc>
      </w:tr>
    </w:tbl>
    <w:p w:rsidR="00414E82" w:rsidRDefault="00414E82" w:rsidP="00414E82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4E82" w:rsidRPr="00175EF5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5EF5">
        <w:rPr>
          <w:sz w:val="26"/>
          <w:szCs w:val="26"/>
        </w:rPr>
        <w:t>1.5. Предоставление помещений для проведения социально-реабилитационных мероприятий, культурного и бытового обслуживания</w:t>
      </w:r>
    </w:p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758"/>
        <w:gridCol w:w="1798"/>
        <w:gridCol w:w="1760"/>
      </w:tblGrid>
      <w:tr w:rsidR="00414E82" w:rsidRPr="00175EF5" w:rsidTr="00807127">
        <w:tc>
          <w:tcPr>
            <w:tcW w:w="3254" w:type="dxa"/>
            <w:vMerge w:val="restart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редусматривает предоставление помещений (</w:t>
            </w:r>
            <w:proofErr w:type="spellStart"/>
            <w:r w:rsidRPr="00175EF5">
              <w:rPr>
                <w:sz w:val="22"/>
                <w:szCs w:val="22"/>
              </w:rPr>
              <w:t>общегрупповой</w:t>
            </w:r>
            <w:proofErr w:type="spellEnd"/>
            <w:r w:rsidRPr="00175EF5">
              <w:rPr>
                <w:sz w:val="22"/>
                <w:szCs w:val="22"/>
              </w:rPr>
              <w:t xml:space="preserve"> комнаты, помещений для культурно-массовых мероприятий, обучения, бытового обслуживания, тренажерных залов и др.) для организации реабилитационных мероприятий, трудотерапии и культурно-досуговой деятельности</w:t>
            </w:r>
          </w:p>
        </w:tc>
      </w:tr>
      <w:tr w:rsidR="00414E82" w:rsidRPr="00175EF5" w:rsidTr="00807127">
        <w:tc>
          <w:tcPr>
            <w:tcW w:w="3254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175EF5">
              <w:rPr>
                <w:sz w:val="22"/>
                <w:szCs w:val="22"/>
              </w:rPr>
              <w:t>оказание  услуги</w:t>
            </w:r>
            <w:proofErr w:type="gramEnd"/>
            <w:r w:rsidRPr="00175EF5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175EF5" w:rsidTr="00807127">
        <w:tc>
          <w:tcPr>
            <w:tcW w:w="3254" w:type="dxa"/>
            <w:vMerge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</w:tcPr>
          <w:p w:rsidR="00414E82" w:rsidRPr="00175EF5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 xml:space="preserve">редоставление </w:t>
            </w:r>
            <w:proofErr w:type="gramStart"/>
            <w:r w:rsidRPr="00175EF5">
              <w:rPr>
                <w:sz w:val="22"/>
                <w:szCs w:val="22"/>
              </w:rPr>
              <w:t>помещений  для</w:t>
            </w:r>
            <w:proofErr w:type="gramEnd"/>
            <w:r w:rsidRPr="00175EF5">
              <w:rPr>
                <w:sz w:val="22"/>
                <w:szCs w:val="22"/>
              </w:rPr>
              <w:t xml:space="preserve"> организации реабилитационных мероприятий, трудотерапии и культурно-досуговой деятельности</w:t>
            </w:r>
          </w:p>
        </w:tc>
        <w:tc>
          <w:tcPr>
            <w:tcW w:w="1798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40 мин.</w:t>
            </w:r>
          </w:p>
        </w:tc>
        <w:tc>
          <w:tcPr>
            <w:tcW w:w="1760" w:type="dxa"/>
          </w:tcPr>
          <w:p w:rsidR="00414E82" w:rsidRPr="00175EF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ежедневно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75EF5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175EF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5EF5">
              <w:rPr>
                <w:sz w:val="22"/>
                <w:szCs w:val="22"/>
              </w:rPr>
              <w:t>оказатели качества – помещение для проведения социально-реабилитационных 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175EF5" w:rsidTr="00807127">
        <w:tc>
          <w:tcPr>
            <w:tcW w:w="3254" w:type="dxa"/>
          </w:tcPr>
          <w:p w:rsidR="00414E82" w:rsidRPr="00175EF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5EF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16" w:type="dxa"/>
            <w:gridSpan w:val="3"/>
          </w:tcPr>
          <w:p w:rsidR="00414E82" w:rsidRPr="00175EF5" w:rsidRDefault="00414E82" w:rsidP="008071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75EF5">
              <w:rPr>
                <w:sz w:val="22"/>
                <w:szCs w:val="22"/>
              </w:rPr>
              <w:t xml:space="preserve"> помещениях обеспечивается естественное и искусственное освещение.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Помещения должны отвечать действующим санитарно-гигиеническим требованиям и нормативам, в т. ч. противопожарным требованиям, должны быть обеспечены всеми средствами коммунально-бытового благоустройства и доступны для получателей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175EF5">
              <w:rPr>
                <w:sz w:val="22"/>
                <w:szCs w:val="22"/>
              </w:rPr>
              <w:t>Помещения, предоставляемые для организации реабилитационных мероприятий, бытового обслуживания, культурно-досуговой деятельности, по размерам, конфигурации и расположению должны обеспечивать проведение в них всех упомянутых выше мероприятий с учетом специфики обслуживаемого контингента</w:t>
            </w:r>
          </w:p>
        </w:tc>
      </w:tr>
    </w:tbl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4E82" w:rsidRDefault="00414E82" w:rsidP="00414E82">
      <w:pPr>
        <w:ind w:firstLine="708"/>
        <w:jc w:val="both"/>
        <w:rPr>
          <w:sz w:val="26"/>
          <w:szCs w:val="26"/>
        </w:rPr>
      </w:pPr>
      <w:r w:rsidRPr="00175EF5">
        <w:rPr>
          <w:sz w:val="26"/>
          <w:szCs w:val="26"/>
        </w:rPr>
        <w:t>1.6. Пред</w:t>
      </w:r>
      <w:r>
        <w:rPr>
          <w:sz w:val="26"/>
          <w:szCs w:val="26"/>
        </w:rPr>
        <w:t>оставление в пользование мебели</w:t>
      </w:r>
    </w:p>
    <w:p w:rsidR="00414E82" w:rsidRPr="00175EF5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593"/>
        <w:gridCol w:w="1785"/>
        <w:gridCol w:w="1796"/>
      </w:tblGrid>
      <w:tr w:rsidR="00414E82" w:rsidRPr="00D01702" w:rsidTr="00807127">
        <w:tc>
          <w:tcPr>
            <w:tcW w:w="3113" w:type="dxa"/>
            <w:vMerge w:val="restart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D01702">
              <w:rPr>
                <w:bCs/>
                <w:sz w:val="22"/>
                <w:szCs w:val="22"/>
              </w:rPr>
              <w:t xml:space="preserve">Описание социальной услуги, в том числе ее объем </w:t>
            </w:r>
          </w:p>
        </w:tc>
        <w:tc>
          <w:tcPr>
            <w:tcW w:w="6174" w:type="dxa"/>
            <w:gridSpan w:val="3"/>
          </w:tcPr>
          <w:p w:rsidR="00414E82" w:rsidRPr="00D01702" w:rsidRDefault="00414E82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1702">
              <w:rPr>
                <w:sz w:val="22"/>
                <w:szCs w:val="22"/>
              </w:rPr>
              <w:t>редусматривает предоставление мебели согласно утвержденным нормативам, в т. ч. адаптированной к нуждам и запросам получателей социальных услуг в соответствии с ограничениями жизнедеятельности</w:t>
            </w:r>
          </w:p>
        </w:tc>
      </w:tr>
      <w:tr w:rsidR="00414E82" w:rsidRPr="00D01702" w:rsidTr="00807127">
        <w:tc>
          <w:tcPr>
            <w:tcW w:w="3113" w:type="dxa"/>
            <w:vMerge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414E82" w:rsidRPr="00D01702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1702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96" w:type="dxa"/>
          </w:tcPr>
          <w:p w:rsidR="00414E82" w:rsidRPr="00D01702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D01702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D01702" w:rsidTr="00807127">
        <w:tc>
          <w:tcPr>
            <w:tcW w:w="3113" w:type="dxa"/>
            <w:vMerge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3" w:type="dxa"/>
          </w:tcPr>
          <w:p w:rsidR="00414E82" w:rsidRPr="00D01702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3581" w:type="dxa"/>
            <w:gridSpan w:val="2"/>
          </w:tcPr>
          <w:p w:rsidR="00414E82" w:rsidRPr="00D01702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1702">
              <w:rPr>
                <w:sz w:val="22"/>
                <w:szCs w:val="22"/>
              </w:rPr>
              <w:t>редоставляется постоянно, в период пребывания</w:t>
            </w:r>
          </w:p>
        </w:tc>
      </w:tr>
      <w:tr w:rsidR="00414E82" w:rsidRPr="00D01702" w:rsidTr="00807127">
        <w:tc>
          <w:tcPr>
            <w:tcW w:w="3113" w:type="dxa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D01702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74" w:type="dxa"/>
            <w:gridSpan w:val="3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01702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D01702" w:rsidTr="00807127">
        <w:tc>
          <w:tcPr>
            <w:tcW w:w="3113" w:type="dxa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D01702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74" w:type="dxa"/>
            <w:gridSpan w:val="3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1702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D01702" w:rsidTr="00807127">
        <w:tc>
          <w:tcPr>
            <w:tcW w:w="3113" w:type="dxa"/>
          </w:tcPr>
          <w:p w:rsidR="00414E82" w:rsidRPr="00D01702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D01702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74" w:type="dxa"/>
            <w:gridSpan w:val="3"/>
          </w:tcPr>
          <w:p w:rsidR="00414E82" w:rsidRPr="00D01702" w:rsidRDefault="00414E82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01702">
              <w:rPr>
                <w:sz w:val="22"/>
                <w:szCs w:val="22"/>
              </w:rPr>
              <w:t>оказатели качества – предоставление услуги должно обеспечить удовлетворение потребностей получателя социальных услуг в обеспечении удобства и комфорта.</w:t>
            </w:r>
            <w:r>
              <w:rPr>
                <w:sz w:val="22"/>
                <w:szCs w:val="22"/>
              </w:rPr>
              <w:t xml:space="preserve"> </w:t>
            </w:r>
            <w:r w:rsidRPr="00D01702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D01702" w:rsidTr="00807127">
        <w:tc>
          <w:tcPr>
            <w:tcW w:w="3113" w:type="dxa"/>
          </w:tcPr>
          <w:p w:rsidR="00414E82" w:rsidRPr="00D01702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1702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74" w:type="dxa"/>
            <w:gridSpan w:val="3"/>
          </w:tcPr>
          <w:p w:rsidR="00414E82" w:rsidRPr="00D01702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01702">
              <w:rPr>
                <w:sz w:val="22"/>
                <w:szCs w:val="22"/>
              </w:rPr>
              <w:t>ебель должна отвечать установленным санитарно-гигиеническим нормам и требованиям, быть удобной в пользовании, подобранной с учетом возраста, физического состояния получателя социальных услуг, размещение мебели в помещениях должно осуществляться таким образом, чтобы обеспечить свободный доступ получателям социальных услуг, а также доступность уборки и эксплуатации</w:t>
            </w:r>
          </w:p>
        </w:tc>
      </w:tr>
    </w:tbl>
    <w:p w:rsidR="00414E82" w:rsidRPr="00D01702" w:rsidRDefault="00414E82" w:rsidP="00414E82">
      <w:pPr>
        <w:ind w:firstLine="708"/>
        <w:jc w:val="both"/>
        <w:rPr>
          <w:sz w:val="26"/>
          <w:szCs w:val="26"/>
        </w:rPr>
      </w:pPr>
    </w:p>
    <w:p w:rsidR="00414E82" w:rsidRPr="00D01702" w:rsidRDefault="00414E82" w:rsidP="00414E82">
      <w:pPr>
        <w:ind w:firstLine="708"/>
        <w:jc w:val="both"/>
        <w:rPr>
          <w:sz w:val="26"/>
          <w:szCs w:val="26"/>
        </w:rPr>
      </w:pPr>
      <w:r w:rsidRPr="00D01702">
        <w:rPr>
          <w:sz w:val="26"/>
          <w:szCs w:val="26"/>
        </w:rPr>
        <w:t>1.7. Предоставление гигиенических услуг лицам, не способным по состоянию здоровья самостоятельно осуществлять за собой уход</w:t>
      </w:r>
    </w:p>
    <w:p w:rsidR="00414E82" w:rsidRPr="00D01702" w:rsidRDefault="00414E82" w:rsidP="00414E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563"/>
        <w:gridCol w:w="1791"/>
        <w:gridCol w:w="1760"/>
      </w:tblGrid>
      <w:tr w:rsidR="00414E82" w:rsidRPr="00ED6249" w:rsidTr="00807127">
        <w:tc>
          <w:tcPr>
            <w:tcW w:w="3173" w:type="dxa"/>
            <w:vMerge w:val="restart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D6249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14" w:type="dxa"/>
            <w:gridSpan w:val="3"/>
          </w:tcPr>
          <w:p w:rsidR="00414E82" w:rsidRPr="00ED6249" w:rsidRDefault="00414E82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 xml:space="preserve">услуга заключается в индивидуальном обслуживании получателя социальных услуг, предоставлении санитарно-гигиенической помощи, выполнении необходимых процедур 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оказания </w:t>
            </w:r>
            <w:r w:rsidRPr="00ED6249">
              <w:rPr>
                <w:sz w:val="22"/>
                <w:szCs w:val="22"/>
              </w:rPr>
              <w:t>услуги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умывание, помощь в умывании;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5 мин.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2 раза в день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обтирание, обмывание, гигиенические ванны;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15 мин.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 раз в день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помощь в одевании и переодевании;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10 мин.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 раз в день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смена постельного белья;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15 мин.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 раз в неделю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смена памперсов;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10 мин.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до 3 раз в день</w:t>
            </w:r>
          </w:p>
        </w:tc>
      </w:tr>
      <w:tr w:rsidR="00414E82" w:rsidRPr="00ED6249" w:rsidTr="00807127">
        <w:tc>
          <w:tcPr>
            <w:tcW w:w="3173" w:type="dxa"/>
            <w:vMerge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63" w:type="dxa"/>
          </w:tcPr>
          <w:p w:rsidR="00414E82" w:rsidRPr="00ED6249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помощь в пользовании туалетом или судном (сопровождение в туалет или высаживание на судно, вынос судна).</w:t>
            </w:r>
          </w:p>
        </w:tc>
        <w:tc>
          <w:tcPr>
            <w:tcW w:w="1791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10 мин.</w:t>
            </w:r>
          </w:p>
        </w:tc>
        <w:tc>
          <w:tcPr>
            <w:tcW w:w="1760" w:type="dxa"/>
          </w:tcPr>
          <w:p w:rsidR="00414E82" w:rsidRPr="00ED6249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до 3 раз в день</w:t>
            </w:r>
          </w:p>
        </w:tc>
      </w:tr>
      <w:tr w:rsidR="00414E82" w:rsidRPr="00ED6249" w:rsidTr="00807127">
        <w:tc>
          <w:tcPr>
            <w:tcW w:w="3173" w:type="dxa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ED6249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14" w:type="dxa"/>
            <w:gridSpan w:val="3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ED6249" w:rsidTr="00807127">
        <w:tc>
          <w:tcPr>
            <w:tcW w:w="3173" w:type="dxa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ED6249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14" w:type="dxa"/>
            <w:gridSpan w:val="3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ED6249" w:rsidTr="00807127">
        <w:tc>
          <w:tcPr>
            <w:tcW w:w="3173" w:type="dxa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ED6249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14" w:type="dxa"/>
            <w:gridSpan w:val="3"/>
          </w:tcPr>
          <w:p w:rsidR="00414E82" w:rsidRPr="00ED6249" w:rsidRDefault="00414E82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показатели качества – предоставление услуги должно обеспечить удовлетворение санитарно-гигиенических потребностей получателя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ED6249" w:rsidTr="00807127">
        <w:tc>
          <w:tcPr>
            <w:tcW w:w="3173" w:type="dxa"/>
          </w:tcPr>
          <w:p w:rsidR="00414E82" w:rsidRPr="00ED6249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14" w:type="dxa"/>
            <w:gridSpan w:val="3"/>
          </w:tcPr>
          <w:p w:rsidR="00414E82" w:rsidRPr="00ED6249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249">
              <w:rPr>
                <w:sz w:val="22"/>
                <w:szCs w:val="22"/>
              </w:rPr>
              <w:t xml:space="preserve">услуга предоставляется работником поставщика социальных услуг (социальным работником). Услуга выполняется с учетом соблюдения работником поставщика социальных услуг санитарно-гигиенических норм с применением </w:t>
            </w:r>
            <w:proofErr w:type="gramStart"/>
            <w:r w:rsidRPr="00ED6249">
              <w:rPr>
                <w:sz w:val="22"/>
                <w:szCs w:val="22"/>
              </w:rPr>
              <w:t>одноразовых  перчаток</w:t>
            </w:r>
            <w:proofErr w:type="gramEnd"/>
            <w:r w:rsidRPr="00ED6249">
              <w:rPr>
                <w:sz w:val="22"/>
                <w:szCs w:val="22"/>
              </w:rPr>
              <w:t>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4E82" w:rsidRPr="006349FB" w:rsidRDefault="00414E82" w:rsidP="00414E82">
      <w:pPr>
        <w:ind w:firstLine="708"/>
        <w:rPr>
          <w:sz w:val="24"/>
          <w:szCs w:val="24"/>
        </w:rPr>
      </w:pPr>
      <w:r w:rsidRPr="00D04933">
        <w:rPr>
          <w:sz w:val="24"/>
          <w:szCs w:val="24"/>
        </w:rPr>
        <w:t>1.8. Помощь в приеме пищи (кормление)</w:t>
      </w:r>
    </w:p>
    <w:p w:rsidR="00414E82" w:rsidRPr="008475A0" w:rsidRDefault="00414E82" w:rsidP="00414E8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552"/>
        <w:gridCol w:w="1789"/>
        <w:gridCol w:w="1796"/>
      </w:tblGrid>
      <w:tr w:rsidR="00414E82" w:rsidRPr="005A08B5" w:rsidTr="00807127">
        <w:tc>
          <w:tcPr>
            <w:tcW w:w="3150" w:type="dxa"/>
            <w:vMerge w:val="restart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A08B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37" w:type="dxa"/>
            <w:gridSpan w:val="3"/>
          </w:tcPr>
          <w:p w:rsidR="00414E82" w:rsidRPr="00ED6249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D6249">
              <w:rPr>
                <w:bCs/>
                <w:sz w:val="22"/>
                <w:szCs w:val="22"/>
              </w:rPr>
              <w:t>редусматривает предоставление услуги получателям социальных услуг, не способным по состоянию здоровья самостоятельно осуществлять прием пищи (кормление). Услуга включает:</w:t>
            </w:r>
          </w:p>
          <w:p w:rsidR="00414E82" w:rsidRPr="00ED6249" w:rsidRDefault="00414E82" w:rsidP="00807127">
            <w:pPr>
              <w:widowControl w:val="0"/>
              <w:suppressAutoHyphens/>
              <w:ind w:firstLine="252"/>
              <w:jc w:val="both"/>
              <w:rPr>
                <w:bCs/>
                <w:sz w:val="22"/>
                <w:szCs w:val="22"/>
              </w:rPr>
            </w:pPr>
            <w:r w:rsidRPr="00ED6249">
              <w:rPr>
                <w:bCs/>
                <w:sz w:val="22"/>
                <w:szCs w:val="22"/>
              </w:rPr>
              <w:t xml:space="preserve"> разогрев пищи, нарезка хлеба, кипячение молока, приготовление чая и т.д.;</w:t>
            </w:r>
          </w:p>
          <w:p w:rsidR="00414E82" w:rsidRPr="00ED6249" w:rsidRDefault="00414E82" w:rsidP="00807127">
            <w:pPr>
              <w:widowControl w:val="0"/>
              <w:suppressAutoHyphens/>
              <w:ind w:firstLine="252"/>
              <w:jc w:val="both"/>
              <w:rPr>
                <w:bCs/>
                <w:sz w:val="22"/>
                <w:szCs w:val="22"/>
              </w:rPr>
            </w:pPr>
            <w:r w:rsidRPr="00ED6249">
              <w:rPr>
                <w:bCs/>
                <w:sz w:val="22"/>
                <w:szCs w:val="22"/>
              </w:rPr>
              <w:t>подачу пищи получателю социальных услуг, помощь в приеме пищи, в том числе кормление ложкой;</w:t>
            </w:r>
          </w:p>
          <w:p w:rsidR="00414E82" w:rsidRPr="00ED6249" w:rsidRDefault="00414E82" w:rsidP="00807127">
            <w:pPr>
              <w:pStyle w:val="a3"/>
              <w:widowControl w:val="0"/>
              <w:shd w:val="clear" w:color="auto" w:fill="FFFFFF"/>
              <w:suppressAutoHyphens/>
              <w:spacing w:before="0" w:beforeAutospacing="0" w:after="0" w:afterAutospacing="0"/>
              <w:ind w:firstLine="25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6249">
              <w:rPr>
                <w:rFonts w:ascii="Times New Roman" w:hAnsi="Times New Roman" w:cs="Times New Roman"/>
                <w:bCs/>
                <w:sz w:val="22"/>
                <w:szCs w:val="22"/>
              </w:rPr>
              <w:t>мытье посуды после кормления, расстановка ее на места</w:t>
            </w:r>
          </w:p>
        </w:tc>
      </w:tr>
      <w:tr w:rsidR="00414E82" w:rsidRPr="005A08B5" w:rsidTr="00807127">
        <w:tc>
          <w:tcPr>
            <w:tcW w:w="3150" w:type="dxa"/>
            <w:vMerge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414E82" w:rsidRPr="005A08B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A08B5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5A08B5">
              <w:rPr>
                <w:sz w:val="22"/>
                <w:szCs w:val="22"/>
              </w:rPr>
              <w:t>оказание  услуги</w:t>
            </w:r>
            <w:proofErr w:type="gramEnd"/>
            <w:r w:rsidRPr="005A08B5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414E82" w:rsidRPr="005A08B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A08B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5A08B5" w:rsidTr="00807127">
        <w:tc>
          <w:tcPr>
            <w:tcW w:w="3150" w:type="dxa"/>
            <w:vMerge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414E82" w:rsidRPr="005A08B5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08B5">
              <w:rPr>
                <w:sz w:val="22"/>
                <w:szCs w:val="22"/>
              </w:rPr>
              <w:t>омощь в приеме пищи</w:t>
            </w:r>
          </w:p>
        </w:tc>
        <w:tc>
          <w:tcPr>
            <w:tcW w:w="1789" w:type="dxa"/>
          </w:tcPr>
          <w:p w:rsidR="00414E82" w:rsidRPr="005A08B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A08B5">
              <w:rPr>
                <w:sz w:val="22"/>
                <w:szCs w:val="22"/>
              </w:rPr>
              <w:t xml:space="preserve">20 мин. </w:t>
            </w:r>
          </w:p>
        </w:tc>
        <w:tc>
          <w:tcPr>
            <w:tcW w:w="1796" w:type="dxa"/>
          </w:tcPr>
          <w:p w:rsidR="00414E82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A08B5">
              <w:rPr>
                <w:sz w:val="22"/>
                <w:szCs w:val="22"/>
              </w:rPr>
              <w:t>в соответствии с индивидуальной программой предоставления социальных услуг</w:t>
            </w:r>
          </w:p>
          <w:p w:rsidR="00414E82" w:rsidRPr="005A08B5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14E82" w:rsidRPr="005A08B5" w:rsidTr="00807127">
        <w:tc>
          <w:tcPr>
            <w:tcW w:w="3150" w:type="dxa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A08B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37" w:type="dxa"/>
            <w:gridSpan w:val="3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A08B5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5A08B5" w:rsidTr="00807127">
        <w:tc>
          <w:tcPr>
            <w:tcW w:w="3150" w:type="dxa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A08B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37" w:type="dxa"/>
            <w:gridSpan w:val="3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08B5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5A08B5" w:rsidTr="00807127">
        <w:tc>
          <w:tcPr>
            <w:tcW w:w="3150" w:type="dxa"/>
          </w:tcPr>
          <w:p w:rsidR="00414E82" w:rsidRPr="005A08B5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5A08B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37" w:type="dxa"/>
            <w:gridSpan w:val="3"/>
          </w:tcPr>
          <w:p w:rsidR="00414E82" w:rsidRPr="005A08B5" w:rsidRDefault="00414E82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08B5">
              <w:rPr>
                <w:sz w:val="22"/>
                <w:szCs w:val="22"/>
              </w:rPr>
              <w:t>оказатели качества – предоставление услуги должно обеспечить удовлетворение физиологических потребностей получателя социальных услуг в получении питания.</w:t>
            </w:r>
            <w:r>
              <w:rPr>
                <w:sz w:val="22"/>
                <w:szCs w:val="22"/>
              </w:rPr>
              <w:t xml:space="preserve"> </w:t>
            </w:r>
            <w:r w:rsidRPr="005A08B5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5A08B5" w:rsidTr="00807127">
        <w:tc>
          <w:tcPr>
            <w:tcW w:w="3150" w:type="dxa"/>
          </w:tcPr>
          <w:p w:rsidR="00414E82" w:rsidRPr="005A08B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8B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37" w:type="dxa"/>
            <w:gridSpan w:val="3"/>
          </w:tcPr>
          <w:p w:rsidR="00414E82" w:rsidRPr="005A08B5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A08B5">
              <w:rPr>
                <w:sz w:val="22"/>
                <w:szCs w:val="22"/>
              </w:rPr>
              <w:t>слуга предоставляется работником поставщика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5A08B5">
              <w:rPr>
                <w:sz w:val="22"/>
                <w:szCs w:val="22"/>
              </w:rPr>
              <w:t>При необходимости при предоставлении услуги работник поставщика социальных услуг должен удобно усадить получателя социальных услуг, измельчить пищу. Услуга выполняется с учетом соблюдения работником поставщика социальных услуг санитарно-гигиенических норм.</w:t>
            </w:r>
            <w:r>
              <w:rPr>
                <w:sz w:val="22"/>
                <w:szCs w:val="22"/>
              </w:rPr>
              <w:t xml:space="preserve"> П</w:t>
            </w:r>
            <w:r w:rsidRPr="005A08B5">
              <w:rPr>
                <w:sz w:val="22"/>
                <w:szCs w:val="22"/>
              </w:rPr>
              <w:t>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</w:tr>
    </w:tbl>
    <w:p w:rsidR="00414E82" w:rsidRDefault="00414E82" w:rsidP="00414E82">
      <w:pPr>
        <w:suppressAutoHyphens/>
        <w:jc w:val="both"/>
        <w:rPr>
          <w:sz w:val="24"/>
          <w:szCs w:val="24"/>
        </w:rPr>
      </w:pPr>
    </w:p>
    <w:p w:rsidR="00414E82" w:rsidRPr="00D04933" w:rsidRDefault="00414E82" w:rsidP="00414E82">
      <w:pPr>
        <w:suppressAutoHyphens/>
        <w:ind w:firstLine="709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1.10. Отправка за счет средств получателя социальных услуг почтовой корреспонденции</w:t>
      </w:r>
    </w:p>
    <w:p w:rsidR="00414E82" w:rsidRPr="006349FB" w:rsidRDefault="00414E82" w:rsidP="00414E82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414E82" w:rsidRPr="00AF1AB0" w:rsidTr="00807127">
        <w:tc>
          <w:tcPr>
            <w:tcW w:w="3124" w:type="dxa"/>
            <w:vMerge w:val="restart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Pr="00AF1AB0">
              <w:rPr>
                <w:spacing w:val="-4"/>
                <w:sz w:val="22"/>
                <w:szCs w:val="22"/>
              </w:rPr>
              <w:t>слуга п</w:t>
            </w:r>
            <w:r w:rsidRPr="00AF1AB0">
              <w:rPr>
                <w:sz w:val="22"/>
                <w:szCs w:val="22"/>
              </w:rPr>
              <w:t>редусматривает доставку в почтовое отделение связи и отправку корреспонденции за счет средств получателей социальных услуг, включает:</w:t>
            </w:r>
          </w:p>
          <w:p w:rsidR="00414E82" w:rsidRPr="00AF1AB0" w:rsidRDefault="00414E82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помощь в написании (заполнении) почтовой корреспонденции;</w:t>
            </w:r>
          </w:p>
          <w:p w:rsidR="00414E82" w:rsidRPr="00AF1AB0" w:rsidRDefault="00414E82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отправку (получение) почтовой корреспонденции;</w:t>
            </w:r>
          </w:p>
          <w:p w:rsidR="00414E82" w:rsidRPr="00AF1AB0" w:rsidRDefault="00414E82" w:rsidP="00807127">
            <w:pPr>
              <w:widowControl w:val="0"/>
              <w:tabs>
                <w:tab w:val="left" w:pos="402"/>
              </w:tabs>
              <w:suppressAutoHyphens/>
              <w:ind w:firstLine="278"/>
              <w:contextualSpacing/>
              <w:jc w:val="both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прочтение почтовой корреспонденции</w:t>
            </w:r>
          </w:p>
        </w:tc>
      </w:tr>
      <w:tr w:rsidR="00414E82" w:rsidRPr="00AF1AB0" w:rsidTr="00807127">
        <w:tc>
          <w:tcPr>
            <w:tcW w:w="3124" w:type="dxa"/>
            <w:vMerge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AF1AB0">
              <w:rPr>
                <w:sz w:val="22"/>
                <w:szCs w:val="22"/>
              </w:rPr>
              <w:t>оказание  услуги</w:t>
            </w:r>
            <w:proofErr w:type="gramEnd"/>
            <w:r w:rsidRPr="00AF1AB0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оказания </w:t>
            </w:r>
            <w:r w:rsidRPr="00AF1AB0">
              <w:rPr>
                <w:sz w:val="22"/>
                <w:szCs w:val="22"/>
              </w:rPr>
              <w:t>услуги</w:t>
            </w:r>
          </w:p>
        </w:tc>
      </w:tr>
      <w:tr w:rsidR="00414E82" w:rsidRPr="00AF1AB0" w:rsidTr="00807127">
        <w:tc>
          <w:tcPr>
            <w:tcW w:w="3124" w:type="dxa"/>
            <w:vMerge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414E82" w:rsidRPr="00AF1AB0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F1AB0">
              <w:rPr>
                <w:sz w:val="22"/>
                <w:szCs w:val="22"/>
              </w:rPr>
              <w:t>тправка за счет средств получателя социальных услуг почтовой корреспонденции</w:t>
            </w:r>
          </w:p>
        </w:tc>
        <w:tc>
          <w:tcPr>
            <w:tcW w:w="178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15 мин.</w:t>
            </w:r>
          </w:p>
        </w:tc>
        <w:tc>
          <w:tcPr>
            <w:tcW w:w="179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1 раз в неделю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1AB0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1AB0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1AB0">
              <w:rPr>
                <w:sz w:val="22"/>
                <w:szCs w:val="22"/>
              </w:rPr>
              <w:t>оказатели качества – своевременная отправка (получение) почтовой корреспонденции получателя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AF1AB0">
              <w:rPr>
                <w:sz w:val="22"/>
                <w:szCs w:val="22"/>
              </w:rPr>
              <w:t xml:space="preserve"> 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F1AB0">
              <w:rPr>
                <w:sz w:val="22"/>
                <w:szCs w:val="22"/>
              </w:rPr>
              <w:t>слуга предоставляется работником поставщика социальных услуг (социальным работником).</w:t>
            </w:r>
            <w:r>
              <w:rPr>
                <w:sz w:val="22"/>
                <w:szCs w:val="22"/>
              </w:rPr>
              <w:t xml:space="preserve"> </w:t>
            </w:r>
            <w:r w:rsidRPr="00AF1AB0">
              <w:rPr>
                <w:sz w:val="22"/>
                <w:szCs w:val="22"/>
              </w:rPr>
              <w:t>При оказании услуги обеспечивается конфиденциальность информации. Услуга может оказываться в электронном виде (в виде СМС или по электронной почте) и включать в себя набор текста электронного письма под диктовку и его отправка</w:t>
            </w:r>
          </w:p>
        </w:tc>
      </w:tr>
    </w:tbl>
    <w:p w:rsidR="00414E82" w:rsidRDefault="00414E82" w:rsidP="00414E82">
      <w:pPr>
        <w:suppressAutoHyphens/>
        <w:jc w:val="both"/>
        <w:rPr>
          <w:sz w:val="24"/>
          <w:szCs w:val="24"/>
        </w:rPr>
      </w:pPr>
    </w:p>
    <w:p w:rsidR="00414E82" w:rsidRPr="008475A0" w:rsidRDefault="00414E82" w:rsidP="00414E82">
      <w:pPr>
        <w:suppressAutoHyphens/>
        <w:ind w:firstLine="709"/>
        <w:jc w:val="both"/>
        <w:rPr>
          <w:sz w:val="24"/>
          <w:szCs w:val="24"/>
        </w:rPr>
      </w:pPr>
      <w:r w:rsidRPr="008475A0">
        <w:rPr>
          <w:sz w:val="24"/>
          <w:szCs w:val="24"/>
        </w:rPr>
        <w:t>1.12. Содействие в отправлении религиозных обрядов традиционных конфессий</w:t>
      </w:r>
    </w:p>
    <w:p w:rsidR="00414E82" w:rsidRPr="006349FB" w:rsidRDefault="00414E82" w:rsidP="00414E82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414E82" w:rsidRPr="00AF1AB0" w:rsidTr="00807127">
        <w:tc>
          <w:tcPr>
            <w:tcW w:w="3124" w:type="dxa"/>
            <w:vMerge w:val="restart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tabs>
                <w:tab w:val="left" w:pos="402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</w:t>
            </w:r>
            <w:r w:rsidRPr="00AF1AB0">
              <w:rPr>
                <w:spacing w:val="-4"/>
                <w:sz w:val="22"/>
                <w:szCs w:val="22"/>
              </w:rPr>
              <w:t xml:space="preserve">слуга направлена на </w:t>
            </w:r>
            <w:r w:rsidRPr="00AF1AB0">
              <w:rPr>
                <w:sz w:val="22"/>
                <w:szCs w:val="22"/>
              </w:rPr>
              <w:t>удовлетворение духовных запросов получателя социальных услуг</w:t>
            </w:r>
            <w:r w:rsidRPr="00AF1AB0">
              <w:rPr>
                <w:spacing w:val="-4"/>
                <w:sz w:val="22"/>
                <w:szCs w:val="22"/>
              </w:rPr>
              <w:t xml:space="preserve"> и предусматривает оказание помощи в проведении религиозных обрядов, в том числе с привлечением священнослужителей, религиозных организаций традиционных конфессий</w:t>
            </w:r>
          </w:p>
        </w:tc>
      </w:tr>
      <w:tr w:rsidR="00414E82" w:rsidRPr="00AF1AB0" w:rsidTr="00807127">
        <w:tc>
          <w:tcPr>
            <w:tcW w:w="3124" w:type="dxa"/>
            <w:vMerge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414E82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AF1AB0">
              <w:rPr>
                <w:sz w:val="22"/>
                <w:szCs w:val="22"/>
              </w:rPr>
              <w:t>оказание  услуги</w:t>
            </w:r>
            <w:proofErr w:type="gramEnd"/>
            <w:r w:rsidRPr="00AF1AB0">
              <w:rPr>
                <w:sz w:val="22"/>
                <w:szCs w:val="22"/>
              </w:rPr>
              <w:t xml:space="preserve"> 1 раз</w:t>
            </w:r>
          </w:p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AF1AB0" w:rsidTr="00807127">
        <w:tc>
          <w:tcPr>
            <w:tcW w:w="3124" w:type="dxa"/>
            <w:vMerge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414E82" w:rsidRPr="00AF1AB0" w:rsidRDefault="00414E82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F1AB0">
              <w:rPr>
                <w:sz w:val="22"/>
                <w:szCs w:val="22"/>
              </w:rPr>
              <w:t>одействие в отправлении религиозных обрядов традиционных конфессий</w:t>
            </w:r>
          </w:p>
        </w:tc>
        <w:tc>
          <w:tcPr>
            <w:tcW w:w="178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20 мин.</w:t>
            </w:r>
          </w:p>
        </w:tc>
        <w:tc>
          <w:tcPr>
            <w:tcW w:w="1796" w:type="dxa"/>
          </w:tcPr>
          <w:p w:rsidR="00414E82" w:rsidRPr="00AF1AB0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по мере необходимости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F1AB0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1AB0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AF1AB0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F1AB0">
              <w:rPr>
                <w:sz w:val="22"/>
                <w:szCs w:val="22"/>
              </w:rPr>
              <w:t>оказатели качества – предоставление услуги должно обеспечить удовлетворенность получателя социальных услуг в духовных потребностях, отправлении религиозных обрядов.</w:t>
            </w:r>
            <w:r>
              <w:rPr>
                <w:sz w:val="22"/>
                <w:szCs w:val="22"/>
              </w:rPr>
              <w:t xml:space="preserve"> </w:t>
            </w:r>
            <w:r w:rsidRPr="00AF1AB0">
              <w:rPr>
                <w:sz w:val="22"/>
                <w:szCs w:val="22"/>
              </w:rPr>
              <w:t xml:space="preserve">   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AF1AB0" w:rsidTr="00807127">
        <w:tc>
          <w:tcPr>
            <w:tcW w:w="3124" w:type="dxa"/>
          </w:tcPr>
          <w:p w:rsidR="00414E82" w:rsidRPr="00AF1AB0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AB0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414E82" w:rsidRPr="00AF1AB0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F1AB0">
              <w:rPr>
                <w:sz w:val="22"/>
                <w:szCs w:val="22"/>
              </w:rPr>
              <w:t>слуга предоставляется работником поставщика социальных услуг (социальным работником).</w:t>
            </w:r>
            <w:r>
              <w:rPr>
                <w:sz w:val="22"/>
                <w:szCs w:val="22"/>
              </w:rPr>
              <w:t xml:space="preserve"> </w:t>
            </w:r>
            <w:r w:rsidRPr="000C11B8">
              <w:rPr>
                <w:sz w:val="22"/>
                <w:szCs w:val="22"/>
              </w:rPr>
              <w:t>При создании условий для отправления религиозных обрядов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</w:tc>
      </w:tr>
    </w:tbl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D04933">
        <w:rPr>
          <w:sz w:val="24"/>
          <w:szCs w:val="24"/>
        </w:rPr>
        <w:t>1.13. Обеспечение за счет средств получателя социальных услуг книгами, журналами, газетами, настольными играми</w:t>
      </w:r>
    </w:p>
    <w:p w:rsidR="00414E82" w:rsidRPr="006349FB" w:rsidRDefault="00414E82" w:rsidP="00414E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2758"/>
        <w:gridCol w:w="1798"/>
        <w:gridCol w:w="1760"/>
      </w:tblGrid>
      <w:tr w:rsidR="00414E82" w:rsidRPr="00CD1774" w:rsidTr="00807127">
        <w:tc>
          <w:tcPr>
            <w:tcW w:w="3254" w:type="dxa"/>
            <w:vMerge w:val="restart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D1774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316" w:type="dxa"/>
            <w:gridSpan w:val="3"/>
          </w:tcPr>
          <w:p w:rsidR="00414E82" w:rsidRDefault="00414E82" w:rsidP="00807127">
            <w:pPr>
              <w:widowControl w:val="0"/>
              <w:tabs>
                <w:tab w:val="left" w:pos="402"/>
              </w:tabs>
              <w:suppressAutoHyphen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D1774">
              <w:rPr>
                <w:sz w:val="22"/>
                <w:szCs w:val="22"/>
              </w:rPr>
              <w:t>беспечение книгами, журналами, газетами, настольными играми в соответствии с потребностями получателя соц</w:t>
            </w:r>
            <w:r>
              <w:rPr>
                <w:sz w:val="22"/>
                <w:szCs w:val="22"/>
              </w:rPr>
              <w:t>иальных услуг. Услуга включает:</w:t>
            </w:r>
          </w:p>
          <w:p w:rsidR="00414E82" w:rsidRPr="00CD1774" w:rsidRDefault="00414E82" w:rsidP="00807127">
            <w:pPr>
              <w:widowControl w:val="0"/>
              <w:tabs>
                <w:tab w:val="left" w:pos="402"/>
              </w:tabs>
              <w:suppressAutoHyphens/>
              <w:ind w:firstLine="263"/>
              <w:contextualSpacing/>
              <w:jc w:val="both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прием заказа от получателя социальных услуг;</w:t>
            </w:r>
          </w:p>
          <w:p w:rsidR="00414E82" w:rsidRPr="00CD1774" w:rsidRDefault="00414E82" w:rsidP="00807127">
            <w:pPr>
              <w:widowControl w:val="0"/>
              <w:tabs>
                <w:tab w:val="left" w:pos="402"/>
              </w:tabs>
              <w:suppressAutoHyphens/>
              <w:ind w:firstLine="263"/>
              <w:contextualSpacing/>
              <w:jc w:val="both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получение денежных средств от получателя социальных услуг на приобретение товара;</w:t>
            </w:r>
          </w:p>
          <w:p w:rsidR="00414E82" w:rsidRPr="00CD1774" w:rsidRDefault="00414E82" w:rsidP="00807127">
            <w:pPr>
              <w:widowControl w:val="0"/>
              <w:tabs>
                <w:tab w:val="left" w:pos="402"/>
              </w:tabs>
              <w:suppressAutoHyphens/>
              <w:ind w:firstLine="263"/>
              <w:contextualSpacing/>
              <w:jc w:val="both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доставку товаров получателю социальных услуг;</w:t>
            </w:r>
          </w:p>
          <w:p w:rsidR="00414E82" w:rsidRPr="00CD1774" w:rsidRDefault="00414E82" w:rsidP="00807127">
            <w:pPr>
              <w:widowControl w:val="0"/>
              <w:tabs>
                <w:tab w:val="left" w:pos="402"/>
              </w:tabs>
              <w:suppressAutoHyphens/>
              <w:ind w:firstLine="263"/>
              <w:contextualSpacing/>
              <w:jc w:val="both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произведение окончательного расчета с получател</w:t>
            </w:r>
            <w:r>
              <w:rPr>
                <w:sz w:val="22"/>
                <w:szCs w:val="22"/>
              </w:rPr>
              <w:t xml:space="preserve">ем социальных услуг по чеку </w:t>
            </w:r>
          </w:p>
        </w:tc>
      </w:tr>
      <w:tr w:rsidR="00414E82" w:rsidRPr="00CD1774" w:rsidTr="00807127">
        <w:tc>
          <w:tcPr>
            <w:tcW w:w="3254" w:type="dxa"/>
            <w:vMerge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414E82" w:rsidRPr="00CD1774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CD1774">
              <w:rPr>
                <w:sz w:val="22"/>
                <w:szCs w:val="22"/>
              </w:rPr>
              <w:t>оказание  услуги</w:t>
            </w:r>
            <w:proofErr w:type="gramEnd"/>
            <w:r w:rsidRPr="00CD1774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60" w:type="dxa"/>
          </w:tcPr>
          <w:p w:rsidR="00414E82" w:rsidRPr="00CD1774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414E82" w:rsidRPr="00CD1774" w:rsidTr="00807127">
        <w:tc>
          <w:tcPr>
            <w:tcW w:w="3254" w:type="dxa"/>
            <w:vMerge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58" w:type="dxa"/>
          </w:tcPr>
          <w:p w:rsidR="00414E82" w:rsidRPr="00CD1774" w:rsidRDefault="00414E82" w:rsidP="00807127">
            <w:pPr>
              <w:widowControl w:val="0"/>
              <w:tabs>
                <w:tab w:val="left" w:pos="402"/>
              </w:tabs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D1774">
              <w:rPr>
                <w:sz w:val="22"/>
                <w:szCs w:val="22"/>
              </w:rPr>
              <w:t>окупка за счет средств получателя социальных услуг и доставка на дом: книг, газет, журналов и настольных игр</w:t>
            </w:r>
          </w:p>
        </w:tc>
        <w:tc>
          <w:tcPr>
            <w:tcW w:w="1798" w:type="dxa"/>
          </w:tcPr>
          <w:p w:rsidR="00414E82" w:rsidRPr="00CD1774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25 мин.</w:t>
            </w:r>
          </w:p>
        </w:tc>
        <w:tc>
          <w:tcPr>
            <w:tcW w:w="1760" w:type="dxa"/>
          </w:tcPr>
          <w:p w:rsidR="00414E82" w:rsidRPr="00CD1774" w:rsidRDefault="00414E82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4 раза в месяц</w:t>
            </w:r>
          </w:p>
        </w:tc>
      </w:tr>
      <w:tr w:rsidR="00414E82" w:rsidRPr="00CD1774" w:rsidTr="00807127">
        <w:tc>
          <w:tcPr>
            <w:tcW w:w="3254" w:type="dxa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D1774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D1774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414E82" w:rsidRPr="00CD1774" w:rsidTr="00807127">
        <w:tc>
          <w:tcPr>
            <w:tcW w:w="3254" w:type="dxa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D1774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D1774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414E82" w:rsidRPr="00CD1774" w:rsidTr="00807127">
        <w:tc>
          <w:tcPr>
            <w:tcW w:w="3254" w:type="dxa"/>
          </w:tcPr>
          <w:p w:rsidR="00414E82" w:rsidRPr="00CD1774" w:rsidRDefault="00414E82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D1774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316" w:type="dxa"/>
            <w:gridSpan w:val="3"/>
          </w:tcPr>
          <w:p w:rsidR="00414E82" w:rsidRPr="00CD1774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D1774">
              <w:rPr>
                <w:sz w:val="22"/>
                <w:szCs w:val="22"/>
              </w:rPr>
              <w:t>оказатели качества –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CD1774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414E82" w:rsidRPr="00CD1774" w:rsidTr="00807127">
        <w:tc>
          <w:tcPr>
            <w:tcW w:w="3254" w:type="dxa"/>
          </w:tcPr>
          <w:p w:rsidR="00414E82" w:rsidRPr="00CD1774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774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316" w:type="dxa"/>
            <w:gridSpan w:val="3"/>
          </w:tcPr>
          <w:p w:rsidR="00414E82" w:rsidRPr="00CD1774" w:rsidRDefault="00414E82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D1774">
              <w:rPr>
                <w:sz w:val="22"/>
                <w:szCs w:val="22"/>
              </w:rPr>
              <w:t>слуга предоставляется работником поставщика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CD1774">
              <w:rPr>
                <w:sz w:val="22"/>
                <w:szCs w:val="22"/>
              </w:rPr>
              <w:t>Покупка товаров осуществляется с учетом конкретных пожеланий получателя социальных услуг на момент заказа. Если таких пожеланий нет, то покупка осуществляется в соответствии с заявленным получателем социальных услуг наименованием товаров.</w:t>
            </w:r>
            <w:r>
              <w:rPr>
                <w:sz w:val="22"/>
                <w:szCs w:val="22"/>
              </w:rPr>
              <w:t xml:space="preserve"> </w:t>
            </w:r>
            <w:r w:rsidRPr="00CD1774">
              <w:rPr>
                <w:sz w:val="22"/>
                <w:szCs w:val="22"/>
              </w:rPr>
              <w:t>Приобретение товаров осуществляется по умеренным ценам</w:t>
            </w:r>
          </w:p>
        </w:tc>
      </w:tr>
    </w:tbl>
    <w:p w:rsidR="00414E82" w:rsidRPr="00D04933" w:rsidRDefault="00414E82" w:rsidP="00414E8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4E82" w:rsidRDefault="00414E82" w:rsidP="00414E82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4E82" w:rsidRDefault="00414E82" w:rsidP="00414E82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4E82" w:rsidRDefault="00414E82" w:rsidP="00414E82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4E82" w:rsidRPr="00414E82" w:rsidRDefault="00414E82" w:rsidP="00414E8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0B7" w:rsidRDefault="000C20B7"/>
    <w:sectPr w:rsidR="000C20B7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7"/>
    <w:rsid w:val="0001498C"/>
    <w:rsid w:val="000C20B7"/>
    <w:rsid w:val="00414E82"/>
    <w:rsid w:val="00455C7F"/>
    <w:rsid w:val="004F0FA9"/>
    <w:rsid w:val="00704441"/>
    <w:rsid w:val="009C6E4A"/>
    <w:rsid w:val="00CD1067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EF2D-4AEA-482B-A8F3-CC11BCA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414E8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414E8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3780</Words>
  <Characters>21550</Characters>
  <Application>Microsoft Office Word</Application>
  <DocSecurity>0</DocSecurity>
  <Lines>179</Lines>
  <Paragraphs>50</Paragraphs>
  <ScaleCrop>false</ScaleCrop>
  <Company/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2016-07-19T12:11:00Z</dcterms:created>
  <dcterms:modified xsi:type="dcterms:W3CDTF">2016-07-19T12:18:00Z</dcterms:modified>
</cp:coreProperties>
</file>